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A627E" w14:textId="77777777" w:rsidR="00CE2D62" w:rsidRDefault="00E83633" w:rsidP="0053140A">
      <w:pPr>
        <w:pStyle w:val="NormalWeb"/>
      </w:pPr>
      <w:bookmarkStart w:id="0" w:name="_GoBack"/>
      <w:bookmarkEnd w:id="0"/>
      <w:r>
        <w:rPr>
          <w:noProof/>
          <w:lang w:val="en-GB"/>
        </w:rPr>
        <w:drawing>
          <wp:inline distT="0" distB="0" distL="0" distR="0" wp14:anchorId="286B4071" wp14:editId="3593E513">
            <wp:extent cx="5679440" cy="9735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I_LT_Logo_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14072" cy="979462"/>
                    </a:xfrm>
                    <a:prstGeom prst="rect">
                      <a:avLst/>
                    </a:prstGeom>
                  </pic:spPr>
                </pic:pic>
              </a:graphicData>
            </a:graphic>
          </wp:inline>
        </w:drawing>
      </w:r>
    </w:p>
    <w:p w14:paraId="26314940" w14:textId="77777777" w:rsidR="00CE2D62" w:rsidRPr="0042569A" w:rsidRDefault="00AB272E" w:rsidP="0053140A">
      <w:pPr>
        <w:pStyle w:val="Title"/>
      </w:pPr>
      <w:r>
        <w:t>Assessment and feedback for learning</w:t>
      </w:r>
    </w:p>
    <w:p w14:paraId="4BD3EF0C" w14:textId="77777777" w:rsidR="00CE2D62" w:rsidRPr="00B273C5" w:rsidRDefault="00C976A5" w:rsidP="0053140A">
      <w:pPr>
        <w:pStyle w:val="Heading3"/>
        <w:jc w:val="center"/>
      </w:pPr>
      <w:r>
        <w:t>Thursday</w:t>
      </w:r>
      <w:r w:rsidR="00CE2D62" w:rsidRPr="00B273C5">
        <w:t xml:space="preserve"> </w:t>
      </w:r>
      <w:r>
        <w:t>29</w:t>
      </w:r>
      <w:r w:rsidR="00ED6BD3" w:rsidRPr="00B273C5">
        <w:t xml:space="preserve"> November</w:t>
      </w:r>
      <w:r w:rsidR="00CE2D62" w:rsidRPr="00B273C5">
        <w:t xml:space="preserve"> 201</w:t>
      </w:r>
      <w:r w:rsidR="00AB272E">
        <w:t>8</w:t>
      </w:r>
      <w:r w:rsidR="00ED6BD3" w:rsidRPr="00B273C5">
        <w:t xml:space="preserve">- </w:t>
      </w:r>
      <w:r>
        <w:t>Fri</w:t>
      </w:r>
      <w:r w:rsidR="00511A11" w:rsidRPr="00B273C5">
        <w:t>day</w:t>
      </w:r>
      <w:r w:rsidR="00ED6BD3" w:rsidRPr="00B273C5">
        <w:t xml:space="preserve"> </w:t>
      </w:r>
      <w:r>
        <w:t>30</w:t>
      </w:r>
      <w:r w:rsidR="00ED6BD3" w:rsidRPr="00B273C5">
        <w:t xml:space="preserve"> </w:t>
      </w:r>
      <w:r>
        <w:t>Nov</w:t>
      </w:r>
      <w:r w:rsidR="00AB272E">
        <w:t>ember 2018</w:t>
      </w:r>
    </w:p>
    <w:p w14:paraId="1C866E30" w14:textId="77777777" w:rsidR="00B273C5" w:rsidRPr="00B273C5" w:rsidRDefault="00B273C5" w:rsidP="0053140A">
      <w:pPr>
        <w:pStyle w:val="Heading3"/>
        <w:jc w:val="center"/>
      </w:pPr>
      <w:r w:rsidRPr="00B273C5">
        <w:t xml:space="preserve">Learning Lab, An </w:t>
      </w:r>
      <w:proofErr w:type="spellStart"/>
      <w:r w:rsidRPr="00B273C5">
        <w:t>Lòchran</w:t>
      </w:r>
      <w:proofErr w:type="spellEnd"/>
      <w:r w:rsidRPr="00B273C5">
        <w:t>, Inverness Campus or online</w:t>
      </w:r>
    </w:p>
    <w:p w14:paraId="6C3DDE35" w14:textId="77777777" w:rsidR="00B273C5" w:rsidRPr="0053140A" w:rsidRDefault="00B273C5" w:rsidP="0053140A">
      <w:pPr>
        <w:pStyle w:val="Heading1"/>
      </w:pPr>
      <w:r w:rsidRPr="0053140A">
        <w:t>Overview</w:t>
      </w:r>
    </w:p>
    <w:p w14:paraId="1C828EFE" w14:textId="77777777" w:rsidR="00B273C5" w:rsidRDefault="00B273C5" w:rsidP="004C0568">
      <w:r w:rsidRPr="0053140A">
        <w:t xml:space="preserve">This event comprises of a series of workshops and </w:t>
      </w:r>
      <w:r w:rsidR="004C0568">
        <w:t>seminars</w:t>
      </w:r>
      <w:r w:rsidRPr="0053140A">
        <w:t xml:space="preserve"> over two days focu</w:t>
      </w:r>
      <w:r w:rsidR="004C0568">
        <w:t xml:space="preserve">sing on assessment and feedback featuring speakers from within and outside the </w:t>
      </w:r>
      <w:r w:rsidR="0053140A" w:rsidRPr="0053140A">
        <w:t>university</w:t>
      </w:r>
      <w:r w:rsidR="004C0568">
        <w:t xml:space="preserve">. Participants are able to attend in person at Inverness Campus, or online (using Blackboard Collaborate) and may choose to attend all, or a selection of the sessions. </w:t>
      </w:r>
    </w:p>
    <w:p w14:paraId="57B463F0" w14:textId="77777777" w:rsidR="00CE2D62" w:rsidRDefault="00CE2D62" w:rsidP="0053140A">
      <w:pPr>
        <w:pStyle w:val="Heading1"/>
      </w:pPr>
      <w:r>
        <w:t>Programme</w:t>
      </w:r>
    </w:p>
    <w:p w14:paraId="3E6ADAD5" w14:textId="77777777" w:rsidR="00D0568B" w:rsidRPr="00D0568B" w:rsidRDefault="00C976A5" w:rsidP="00547A58">
      <w:pPr>
        <w:pStyle w:val="Headng2"/>
        <w:spacing w:before="120" w:after="120"/>
        <w:jc w:val="left"/>
      </w:pPr>
      <w:r>
        <w:t>Thurs</w:t>
      </w:r>
      <w:r w:rsidR="00AB272E">
        <w:t xml:space="preserve">day </w:t>
      </w:r>
      <w:r>
        <w:t>29</w:t>
      </w:r>
      <w:r w:rsidR="00D0568B">
        <w:t xml:space="preserve"> </w:t>
      </w:r>
      <w:r>
        <w:t>Nove</w:t>
      </w:r>
      <w:r w:rsidR="00AB272E">
        <w:t>mber</w:t>
      </w:r>
    </w:p>
    <w:tbl>
      <w:tblPr>
        <w:tblStyle w:val="TableGrid"/>
        <w:tblW w:w="0" w:type="auto"/>
        <w:tblLook w:val="04A0" w:firstRow="1" w:lastRow="0" w:firstColumn="1" w:lastColumn="0" w:noHBand="0" w:noVBand="1"/>
      </w:tblPr>
      <w:tblGrid>
        <w:gridCol w:w="1555"/>
        <w:gridCol w:w="8901"/>
      </w:tblGrid>
      <w:tr w:rsidR="00ED6BD3" w14:paraId="380F9708" w14:textId="77777777" w:rsidTr="00ED6BD3">
        <w:tc>
          <w:tcPr>
            <w:tcW w:w="1555" w:type="dxa"/>
          </w:tcPr>
          <w:p w14:paraId="245A05C2" w14:textId="77777777" w:rsidR="00ED6BD3" w:rsidRPr="0042569A" w:rsidRDefault="00ED6BD3" w:rsidP="0053140A">
            <w:r w:rsidRPr="0042569A">
              <w:t>1200-1230</w:t>
            </w:r>
          </w:p>
        </w:tc>
        <w:tc>
          <w:tcPr>
            <w:tcW w:w="8901" w:type="dxa"/>
          </w:tcPr>
          <w:p w14:paraId="2C9B97EE" w14:textId="77777777" w:rsidR="00B273C5" w:rsidRDefault="00ED6BD3" w:rsidP="0053140A">
            <w:pPr>
              <w:pStyle w:val="Heading3"/>
              <w:outlineLvl w:val="2"/>
            </w:pPr>
            <w:r>
              <w:t>Lunch</w:t>
            </w:r>
            <w:r w:rsidR="00D0568B">
              <w:t xml:space="preserve"> (for those attending in person)</w:t>
            </w:r>
          </w:p>
          <w:p w14:paraId="68203EA1" w14:textId="77777777" w:rsidR="00ED6BD3" w:rsidRPr="008E65CB" w:rsidRDefault="00511A11" w:rsidP="0053140A">
            <w:r>
              <w:t xml:space="preserve">Learning Lab, An </w:t>
            </w:r>
            <w:proofErr w:type="spellStart"/>
            <w:r>
              <w:t>Lòchran</w:t>
            </w:r>
            <w:proofErr w:type="spellEnd"/>
            <w:r>
              <w:t>, Inverness Campus</w:t>
            </w:r>
          </w:p>
        </w:tc>
      </w:tr>
      <w:tr w:rsidR="008E65CB" w14:paraId="06CE3F41" w14:textId="77777777" w:rsidTr="00ED6BD3">
        <w:tc>
          <w:tcPr>
            <w:tcW w:w="1555" w:type="dxa"/>
          </w:tcPr>
          <w:p w14:paraId="4921E100" w14:textId="77777777" w:rsidR="008E65CB" w:rsidRPr="0042569A" w:rsidRDefault="00511A11" w:rsidP="000853FF">
            <w:r w:rsidRPr="0042569A">
              <w:t>12</w:t>
            </w:r>
            <w:r w:rsidR="00ED6BD3" w:rsidRPr="0042569A">
              <w:t>30-1</w:t>
            </w:r>
            <w:r w:rsidR="000853FF">
              <w:t>33</w:t>
            </w:r>
            <w:r w:rsidRPr="0042569A">
              <w:t>0</w:t>
            </w:r>
          </w:p>
        </w:tc>
        <w:tc>
          <w:tcPr>
            <w:tcW w:w="8901" w:type="dxa"/>
          </w:tcPr>
          <w:p w14:paraId="33C1A7B3" w14:textId="77777777" w:rsidR="000853FF" w:rsidRDefault="000853FF" w:rsidP="000853FF">
            <w:pPr>
              <w:pStyle w:val="Headng2"/>
              <w:rPr>
                <w:rFonts w:ascii="Times New Roman" w:hAnsi="Times New Roman"/>
                <w:sz w:val="24"/>
                <w:szCs w:val="24"/>
                <w:lang w:val="en-GB"/>
              </w:rPr>
            </w:pPr>
            <w:r>
              <w:t>Assessment</w:t>
            </w:r>
            <w:r w:rsidR="00CA784B">
              <w:t xml:space="preserve"> futures</w:t>
            </w:r>
            <w:r w:rsidR="000B7515">
              <w:t xml:space="preserve">- </w:t>
            </w:r>
            <w:r w:rsidR="00CA784B">
              <w:t>t</w:t>
            </w:r>
            <w:r w:rsidR="000B7515">
              <w:t xml:space="preserve">he </w:t>
            </w:r>
            <w:r w:rsidR="00CA784B">
              <w:t>‘</w:t>
            </w:r>
            <w:r w:rsidR="000B7515">
              <w:t>final frontier</w:t>
            </w:r>
            <w:r w:rsidR="00CA784B">
              <w:t>’</w:t>
            </w:r>
            <w:r w:rsidR="000B7515">
              <w:t xml:space="preserve"> for Higher Education</w:t>
            </w:r>
            <w:r w:rsidR="00CA784B">
              <w:t>- issues and possibilities</w:t>
            </w:r>
          </w:p>
          <w:p w14:paraId="274B4AAE" w14:textId="77777777" w:rsidR="000853FF" w:rsidRDefault="000853FF" w:rsidP="000853FF">
            <w:pPr>
              <w:pStyle w:val="Headng2"/>
            </w:pPr>
            <w:r>
              <w:t>Professor Peter Hartley</w:t>
            </w:r>
          </w:p>
          <w:p w14:paraId="0E7CC816" w14:textId="77777777" w:rsidR="00B273C5" w:rsidRPr="00035FB9" w:rsidRDefault="00B273C5" w:rsidP="0053140A">
            <w:pPr>
              <w:pStyle w:val="Heading3"/>
              <w:outlineLvl w:val="2"/>
            </w:pPr>
            <w:r w:rsidRPr="00035FB9">
              <w:t>Description</w:t>
            </w:r>
          </w:p>
          <w:p w14:paraId="6414A36C" w14:textId="77777777" w:rsidR="008E65CB" w:rsidRDefault="00CA784B" w:rsidP="000B7515">
            <w:r>
              <w:t>This keynote explores current issues in assessment in UK HE and suggests that we need to review and revise both strategies and practice in order to meet the challenges of preparing our students for an increasingly precarious economic and social environment after they graduate. A number of universities are making significant changes to their approaches to assessment and this session will review selected initiatives which have profound implications for the way we assess students, e.g. the move to programme assessment. These changes, coupled with new techniques for assessment feedback, offer the chance to enhance student learning and to improve both student and staff satisfaction with their assessment experience.</w:t>
            </w:r>
          </w:p>
        </w:tc>
      </w:tr>
      <w:tr w:rsidR="00DF5781" w14:paraId="29A4E1BE" w14:textId="77777777" w:rsidTr="00ED6BD3">
        <w:tc>
          <w:tcPr>
            <w:tcW w:w="1555" w:type="dxa"/>
          </w:tcPr>
          <w:p w14:paraId="315D4BFF" w14:textId="77777777" w:rsidR="00DF5781" w:rsidRPr="0042569A" w:rsidRDefault="000853FF" w:rsidP="000853FF">
            <w:r>
              <w:t>133</w:t>
            </w:r>
            <w:r w:rsidR="00511A11" w:rsidRPr="0042569A">
              <w:t>0-1</w:t>
            </w:r>
            <w:r>
              <w:t>35</w:t>
            </w:r>
            <w:r w:rsidR="00ED6BD3" w:rsidRPr="0042569A">
              <w:t>0</w:t>
            </w:r>
          </w:p>
        </w:tc>
        <w:tc>
          <w:tcPr>
            <w:tcW w:w="8901" w:type="dxa"/>
          </w:tcPr>
          <w:p w14:paraId="633955FE" w14:textId="77777777" w:rsidR="00DF5781" w:rsidRPr="00035FB9" w:rsidRDefault="00ED6BD3" w:rsidP="0053140A">
            <w:pPr>
              <w:pStyle w:val="Heading3"/>
              <w:outlineLvl w:val="2"/>
            </w:pPr>
            <w:r>
              <w:t xml:space="preserve"> Break</w:t>
            </w:r>
          </w:p>
        </w:tc>
      </w:tr>
      <w:tr w:rsidR="00035FB9" w14:paraId="5F20C88F" w14:textId="77777777" w:rsidTr="00ED6BD3">
        <w:tc>
          <w:tcPr>
            <w:tcW w:w="1555" w:type="dxa"/>
          </w:tcPr>
          <w:p w14:paraId="35750227" w14:textId="77777777" w:rsidR="00035FB9" w:rsidRPr="0042569A" w:rsidRDefault="000853FF" w:rsidP="000B7515">
            <w:r>
              <w:t>135</w:t>
            </w:r>
            <w:r w:rsidR="00ED6BD3" w:rsidRPr="0042569A">
              <w:t>0-1</w:t>
            </w:r>
            <w:r w:rsidR="000B7515">
              <w:t>50</w:t>
            </w:r>
            <w:r w:rsidR="00ED6BD3" w:rsidRPr="0042569A">
              <w:t>0</w:t>
            </w:r>
          </w:p>
        </w:tc>
        <w:tc>
          <w:tcPr>
            <w:tcW w:w="8901" w:type="dxa"/>
          </w:tcPr>
          <w:p w14:paraId="64E05A9F" w14:textId="77777777" w:rsidR="000B7515" w:rsidRPr="00035FB9" w:rsidRDefault="000B7515" w:rsidP="000B7515">
            <w:pPr>
              <w:pStyle w:val="Headng2"/>
            </w:pPr>
            <w:r>
              <w:t>Feedback as a dialogue</w:t>
            </w:r>
          </w:p>
          <w:p w14:paraId="0E017868" w14:textId="77777777" w:rsidR="000B7515" w:rsidRDefault="000B7515" w:rsidP="000B7515">
            <w:pPr>
              <w:pStyle w:val="Headng2"/>
            </w:pPr>
            <w:r>
              <w:t>Professor Keith Smyth, Learning and Teaching Academy</w:t>
            </w:r>
          </w:p>
          <w:p w14:paraId="6974DDCF" w14:textId="77777777" w:rsidR="00511A11" w:rsidRDefault="00511A11" w:rsidP="0053140A">
            <w:pPr>
              <w:pStyle w:val="Heading3"/>
              <w:outlineLvl w:val="2"/>
            </w:pPr>
            <w:r w:rsidRPr="0042569A">
              <w:t xml:space="preserve">Description </w:t>
            </w:r>
          </w:p>
          <w:p w14:paraId="436E3899" w14:textId="77777777" w:rsidR="00A0200E" w:rsidRPr="00162045" w:rsidRDefault="0028059E" w:rsidP="00A0200E">
            <w:r>
              <w:t xml:space="preserve">During this interactive </w:t>
            </w:r>
            <w:r w:rsidR="00A0200E">
              <w:t>workshop</w:t>
            </w:r>
            <w:r>
              <w:t xml:space="preserve"> we will explore how our feedback practices can </w:t>
            </w:r>
            <w:r w:rsidR="00A0200E">
              <w:t>enable</w:t>
            </w:r>
            <w:r>
              <w:t xml:space="preserve"> a process of continual and developmental </w:t>
            </w:r>
            <w:r w:rsidRPr="0028059E">
              <w:t>dialogue</w:t>
            </w:r>
            <w:r>
              <w:t xml:space="preserve"> between tutors and learners</w:t>
            </w:r>
            <w:r w:rsidR="00A0200E">
              <w:t xml:space="preserve">, through devising assessments which increase the </w:t>
            </w:r>
            <w:r w:rsidRPr="0028059E">
              <w:t xml:space="preserve">scope for students to reflect on and refine their </w:t>
            </w:r>
            <w:r w:rsidR="00A0200E">
              <w:t>work, and through harnessing approaches to feedback and feedforward that</w:t>
            </w:r>
            <w:r w:rsidRPr="0028059E">
              <w:t xml:space="preserve"> </w:t>
            </w:r>
            <w:r w:rsidR="00A0200E">
              <w:t xml:space="preserve">can support student engagement and progression within and between the different </w:t>
            </w:r>
            <w:r w:rsidR="00431F80">
              <w:t>stages of their course or programme</w:t>
            </w:r>
            <w:r w:rsidR="00A0200E">
              <w:t>.  We will ex</w:t>
            </w:r>
            <w:r w:rsidR="00A84846">
              <w:t>plore examples of good</w:t>
            </w:r>
            <w:r w:rsidR="00A0200E">
              <w:t xml:space="preserve"> practice in ‘feedback as dialogue’</w:t>
            </w:r>
            <w:r w:rsidR="00A84846">
              <w:t xml:space="preserve"> from across the sector</w:t>
            </w:r>
            <w:r w:rsidR="00A0200E">
              <w:t xml:space="preserve">, provide opportunities for participants to share and reflect upon their own </w:t>
            </w:r>
            <w:r w:rsidR="00A84846">
              <w:t xml:space="preserve">effective </w:t>
            </w:r>
            <w:r w:rsidR="00A0200E">
              <w:t>practice</w:t>
            </w:r>
            <w:r w:rsidR="00A84846">
              <w:t xml:space="preserve">s, </w:t>
            </w:r>
            <w:r w:rsidR="00A0200E">
              <w:t>and identify w</w:t>
            </w:r>
            <w:r w:rsidR="00A84846">
              <w:t xml:space="preserve">ays in which we </w:t>
            </w:r>
            <w:r w:rsidR="00A0200E">
              <w:t>can better support students and staff in using feedback cumulati</w:t>
            </w:r>
            <w:r w:rsidR="00A84846">
              <w:t>vely and collectively to enhance</w:t>
            </w:r>
            <w:r w:rsidR="00FE3B55">
              <w:t xml:space="preserve"> </w:t>
            </w:r>
            <w:r w:rsidR="00C63810">
              <w:t>learning and teaching, and the learning experience of our students.</w:t>
            </w:r>
          </w:p>
          <w:p w14:paraId="767E1CB8" w14:textId="77777777" w:rsidR="00035FB9" w:rsidRPr="00035FB9" w:rsidRDefault="00035FB9" w:rsidP="00AB272E"/>
        </w:tc>
      </w:tr>
      <w:tr w:rsidR="000853FF" w14:paraId="4D5EF45E" w14:textId="77777777" w:rsidTr="00ED6BD3">
        <w:tc>
          <w:tcPr>
            <w:tcW w:w="1555" w:type="dxa"/>
          </w:tcPr>
          <w:p w14:paraId="07BB10C3" w14:textId="77777777" w:rsidR="000853FF" w:rsidRDefault="000853FF" w:rsidP="000853FF">
            <w:r>
              <w:lastRenderedPageBreak/>
              <w:t>1500-1520</w:t>
            </w:r>
          </w:p>
        </w:tc>
        <w:tc>
          <w:tcPr>
            <w:tcW w:w="8901" w:type="dxa"/>
          </w:tcPr>
          <w:p w14:paraId="2E7EB127" w14:textId="77777777" w:rsidR="000853FF" w:rsidRDefault="000853FF" w:rsidP="0053140A">
            <w:pPr>
              <w:pStyle w:val="Heading3"/>
              <w:outlineLvl w:val="2"/>
            </w:pPr>
            <w:r>
              <w:t>Break</w:t>
            </w:r>
          </w:p>
        </w:tc>
      </w:tr>
      <w:tr w:rsidR="000853FF" w14:paraId="37D31083" w14:textId="77777777" w:rsidTr="00ED6BD3">
        <w:tc>
          <w:tcPr>
            <w:tcW w:w="1555" w:type="dxa"/>
          </w:tcPr>
          <w:p w14:paraId="4ED193C3" w14:textId="77777777" w:rsidR="000853FF" w:rsidRDefault="000853FF" w:rsidP="000B7515">
            <w:r>
              <w:t>1520-16</w:t>
            </w:r>
            <w:r w:rsidR="000B7515">
              <w:t>3</w:t>
            </w:r>
            <w:r>
              <w:t>0</w:t>
            </w:r>
          </w:p>
        </w:tc>
        <w:tc>
          <w:tcPr>
            <w:tcW w:w="8901" w:type="dxa"/>
          </w:tcPr>
          <w:p w14:paraId="591E82F8" w14:textId="77777777" w:rsidR="000853FF" w:rsidRDefault="000853FF" w:rsidP="000B7515">
            <w:pPr>
              <w:pStyle w:val="Heading3"/>
              <w:outlineLvl w:val="2"/>
            </w:pPr>
            <w:r>
              <w:t>Sharing best practice</w:t>
            </w:r>
            <w:r w:rsidR="008F1340">
              <w:t>:</w:t>
            </w:r>
            <w:r>
              <w:t xml:space="preserve"> </w:t>
            </w:r>
            <w:r w:rsidR="008F1340">
              <w:t>L</w:t>
            </w:r>
            <w:r>
              <w:t>ightning</w:t>
            </w:r>
            <w:r w:rsidR="000B7515">
              <w:t xml:space="preserve"> talks from </w:t>
            </w:r>
            <w:r w:rsidR="008F1340">
              <w:t>UHI</w:t>
            </w:r>
            <w:r w:rsidR="000B7515">
              <w:t xml:space="preserve"> colleagues</w:t>
            </w:r>
          </w:p>
          <w:p w14:paraId="029349DA" w14:textId="77777777" w:rsidR="0031124F" w:rsidRDefault="0031124F" w:rsidP="0031124F">
            <w:pPr>
              <w:rPr>
                <w:color w:val="000000"/>
                <w:lang w:val="en-GB"/>
              </w:rPr>
            </w:pPr>
            <w:r w:rsidRPr="004E3797">
              <w:t>Dr</w:t>
            </w:r>
            <w:r>
              <w:t xml:space="preserve"> Suki Haider (Moray College UHI),</w:t>
            </w:r>
            <w:r w:rsidRPr="004E3797">
              <w:t xml:space="preserve"> </w:t>
            </w:r>
            <w:r>
              <w:rPr>
                <w:color w:val="000000"/>
              </w:rPr>
              <w:t>Five possible solutions to students ignoring marker feedback</w:t>
            </w:r>
          </w:p>
          <w:p w14:paraId="6784D6EE" w14:textId="77777777" w:rsidR="004E3797" w:rsidRDefault="004E3797" w:rsidP="008F1340">
            <w:pPr>
              <w:rPr>
                <w:rFonts w:asciiTheme="minorHAnsi" w:hAnsiTheme="minorHAnsi" w:cstheme="minorBidi"/>
              </w:rPr>
            </w:pPr>
            <w:r w:rsidRPr="004E3797">
              <w:t>S</w:t>
            </w:r>
            <w:r w:rsidR="008F1340">
              <w:t>arah Turnbull</w:t>
            </w:r>
            <w:r w:rsidRPr="004E3797">
              <w:t xml:space="preserve"> </w:t>
            </w:r>
            <w:r w:rsidR="008F1340">
              <w:t>(</w:t>
            </w:r>
            <w:r w:rsidRPr="004E3797">
              <w:t>Perth College UHI</w:t>
            </w:r>
            <w:r w:rsidR="008F1340">
              <w:t>)</w:t>
            </w:r>
            <w:r w:rsidR="000A45DC">
              <w:t>,</w:t>
            </w:r>
            <w:r w:rsidRPr="004E3797">
              <w:t xml:space="preserve"> </w:t>
            </w:r>
            <w:r w:rsidRPr="004E3797">
              <w:rPr>
                <w:rFonts w:asciiTheme="minorHAnsi" w:hAnsiTheme="minorHAnsi" w:cstheme="minorBidi"/>
              </w:rPr>
              <w:t>Audit poster: An evolving assessment</w:t>
            </w:r>
          </w:p>
          <w:p w14:paraId="6E366524" w14:textId="77777777" w:rsidR="0031124F" w:rsidRPr="004E3797" w:rsidRDefault="0031124F" w:rsidP="008F1340">
            <w:r w:rsidRPr="004E3797">
              <w:t>P</w:t>
            </w:r>
            <w:r>
              <w:t>ete Honeyman (Perth College UHI),</w:t>
            </w:r>
            <w:r w:rsidRPr="004E3797">
              <w:t xml:space="preserve"> Negotiated assessment</w:t>
            </w:r>
          </w:p>
        </w:tc>
      </w:tr>
      <w:tr w:rsidR="00D0568B" w14:paraId="72A59F2C" w14:textId="77777777" w:rsidTr="00ED6BD3">
        <w:tc>
          <w:tcPr>
            <w:tcW w:w="1555" w:type="dxa"/>
          </w:tcPr>
          <w:p w14:paraId="372D43F0" w14:textId="77777777" w:rsidR="00D0568B" w:rsidRPr="0042569A" w:rsidRDefault="000853FF" w:rsidP="0053140A">
            <w:r>
              <w:t>16</w:t>
            </w:r>
            <w:r w:rsidR="000B7515">
              <w:t>3</w:t>
            </w:r>
            <w:r w:rsidR="00D0568B">
              <w:t>0</w:t>
            </w:r>
          </w:p>
        </w:tc>
        <w:tc>
          <w:tcPr>
            <w:tcW w:w="8901" w:type="dxa"/>
          </w:tcPr>
          <w:p w14:paraId="5E941990" w14:textId="77777777" w:rsidR="00D0568B" w:rsidRDefault="00D0568B" w:rsidP="0053140A">
            <w:pPr>
              <w:pStyle w:val="Heading3"/>
              <w:outlineLvl w:val="2"/>
            </w:pPr>
            <w:r>
              <w:t>Close of day 1</w:t>
            </w:r>
          </w:p>
        </w:tc>
      </w:tr>
    </w:tbl>
    <w:p w14:paraId="56D85079" w14:textId="77777777" w:rsidR="004C0568" w:rsidRDefault="000B7515" w:rsidP="00547A58">
      <w:pPr>
        <w:pStyle w:val="Headng2"/>
        <w:spacing w:before="120" w:after="120"/>
        <w:jc w:val="left"/>
      </w:pPr>
      <w:r>
        <w:t>Friday 30 November</w:t>
      </w:r>
    </w:p>
    <w:tbl>
      <w:tblPr>
        <w:tblStyle w:val="TableGrid"/>
        <w:tblW w:w="0" w:type="auto"/>
        <w:tblLook w:val="04A0" w:firstRow="1" w:lastRow="0" w:firstColumn="1" w:lastColumn="0" w:noHBand="0" w:noVBand="1"/>
      </w:tblPr>
      <w:tblGrid>
        <w:gridCol w:w="1555"/>
        <w:gridCol w:w="8901"/>
      </w:tblGrid>
      <w:tr w:rsidR="00ED6BD3" w14:paraId="5DCEC31E" w14:textId="77777777" w:rsidTr="00892B41">
        <w:tc>
          <w:tcPr>
            <w:tcW w:w="1555" w:type="dxa"/>
          </w:tcPr>
          <w:p w14:paraId="4394049A" w14:textId="77777777" w:rsidR="00ED6BD3" w:rsidRPr="0042569A" w:rsidRDefault="00ED6BD3" w:rsidP="000B7515">
            <w:r w:rsidRPr="0042569A">
              <w:t>09</w:t>
            </w:r>
            <w:r w:rsidR="000B7515">
              <w:t>0</w:t>
            </w:r>
            <w:r w:rsidR="00511A11" w:rsidRPr="0042569A">
              <w:t>0</w:t>
            </w:r>
            <w:r w:rsidRPr="0042569A">
              <w:t>-0</w:t>
            </w:r>
            <w:r w:rsidR="000B7515">
              <w:t>93</w:t>
            </w:r>
            <w:r w:rsidRPr="0042569A">
              <w:t>0</w:t>
            </w:r>
          </w:p>
        </w:tc>
        <w:tc>
          <w:tcPr>
            <w:tcW w:w="8901" w:type="dxa"/>
          </w:tcPr>
          <w:p w14:paraId="20816F33" w14:textId="77777777" w:rsidR="00D0568B" w:rsidRDefault="00D0568B" w:rsidP="0053140A">
            <w:pPr>
              <w:pStyle w:val="Heading3"/>
              <w:outlineLvl w:val="2"/>
            </w:pPr>
            <w:r>
              <w:t>Tea and coffee (for those attending in person)</w:t>
            </w:r>
          </w:p>
          <w:p w14:paraId="2093B68B" w14:textId="77777777" w:rsidR="00ED6BD3" w:rsidRPr="008E65CB" w:rsidRDefault="00D0568B" w:rsidP="0053140A">
            <w:pPr>
              <w:rPr>
                <w:bCs/>
              </w:rPr>
            </w:pPr>
            <w:r>
              <w:t xml:space="preserve">Learning Lab, An </w:t>
            </w:r>
            <w:proofErr w:type="spellStart"/>
            <w:r>
              <w:t>Lòchran</w:t>
            </w:r>
            <w:proofErr w:type="spellEnd"/>
            <w:r>
              <w:t>, Inverness Campus</w:t>
            </w:r>
          </w:p>
        </w:tc>
      </w:tr>
      <w:tr w:rsidR="00ED6BD3" w14:paraId="7AADA8BF" w14:textId="77777777" w:rsidTr="00892B41">
        <w:tc>
          <w:tcPr>
            <w:tcW w:w="1555" w:type="dxa"/>
          </w:tcPr>
          <w:p w14:paraId="602040D2" w14:textId="77777777" w:rsidR="00ED6BD3" w:rsidRPr="0042569A" w:rsidRDefault="00511A11" w:rsidP="000B7515">
            <w:r w:rsidRPr="0042569A">
              <w:t>0</w:t>
            </w:r>
            <w:r w:rsidR="000B7515">
              <w:t>93</w:t>
            </w:r>
            <w:r w:rsidRPr="0042569A">
              <w:t>0-11</w:t>
            </w:r>
            <w:r w:rsidR="000B7515">
              <w:t>0</w:t>
            </w:r>
            <w:r w:rsidR="000853FF">
              <w:t>0</w:t>
            </w:r>
          </w:p>
        </w:tc>
        <w:tc>
          <w:tcPr>
            <w:tcW w:w="8901" w:type="dxa"/>
          </w:tcPr>
          <w:p w14:paraId="506399D8" w14:textId="77777777" w:rsidR="000B7515" w:rsidRDefault="00CA784B" w:rsidP="000853FF">
            <w:pPr>
              <w:pStyle w:val="Headng2"/>
            </w:pPr>
            <w:r>
              <w:t>Moving forward with</w:t>
            </w:r>
            <w:r w:rsidR="000B7515">
              <w:t xml:space="preserve"> programme-focussed assessment</w:t>
            </w:r>
          </w:p>
          <w:p w14:paraId="1811E058" w14:textId="77777777" w:rsidR="000B7515" w:rsidRDefault="000B7515" w:rsidP="000B7515">
            <w:pPr>
              <w:pStyle w:val="Headng2"/>
            </w:pPr>
            <w:r>
              <w:t>Professor Peter Hartley</w:t>
            </w:r>
          </w:p>
          <w:p w14:paraId="00D84087" w14:textId="77777777" w:rsidR="00FF1C43" w:rsidRDefault="00FF1C43" w:rsidP="00FF1C43">
            <w:pPr>
              <w:pStyle w:val="Heading3"/>
              <w:outlineLvl w:val="2"/>
              <w:rPr>
                <w:lang w:eastAsia="en-GB"/>
              </w:rPr>
            </w:pPr>
            <w:r w:rsidRPr="008E65CB">
              <w:rPr>
                <w:lang w:eastAsia="en-GB"/>
              </w:rPr>
              <w:t>Description</w:t>
            </w:r>
          </w:p>
          <w:p w14:paraId="03302322" w14:textId="77777777" w:rsidR="00CA784B" w:rsidRDefault="00CA784B" w:rsidP="00CA784B">
            <w:r>
              <w:t xml:space="preserve">This workshop will review and analyse major developments in programme-focussed assessment, looking at different concepts and approaches, and discuss how they might be applied to your institutional and disciplinary context. </w:t>
            </w:r>
          </w:p>
          <w:p w14:paraId="68C089A5" w14:textId="77777777" w:rsidR="00CA784B" w:rsidRDefault="00CA784B" w:rsidP="00CA784B">
            <w:r>
              <w:t xml:space="preserve">After discussing both general and specific issues in assessment policy practice which programme-focussed assessment can help us to address, we will introduce a range of approaches and perspectives, using a variety of case studies and examples from recent UK initiatives and national projects such as the </w:t>
            </w:r>
            <w:r w:rsidRPr="00533824">
              <w:t xml:space="preserve">PASS </w:t>
            </w:r>
            <w:r>
              <w:t xml:space="preserve">project – you can find the updated website at </w:t>
            </w:r>
            <w:hyperlink r:id="rId6" w:history="1">
              <w:r w:rsidRPr="00B53CA0">
                <w:rPr>
                  <w:rStyle w:val="Hyperlink"/>
                </w:rPr>
                <w:t>https://www.brad.ac.uk/pass/</w:t>
              </w:r>
            </w:hyperlink>
            <w:r>
              <w:t xml:space="preserve"> - and TESTA – </w:t>
            </w:r>
            <w:hyperlink r:id="rId7" w:history="1">
              <w:r w:rsidRPr="00794643">
                <w:rPr>
                  <w:rStyle w:val="Hyperlink"/>
                </w:rPr>
                <w:t>https://www.testa.ac.uk</w:t>
              </w:r>
            </w:hyperlink>
            <w:r>
              <w:t xml:space="preserve"> . </w:t>
            </w:r>
          </w:p>
          <w:p w14:paraId="3D6D706B" w14:textId="77777777" w:rsidR="00CA784B" w:rsidRPr="00EF0987" w:rsidRDefault="00CA784B" w:rsidP="00CA784B">
            <w:r>
              <w:t>This workshop will review main principles of PFA, introduce different approaches which have been adopted, and discuss both the advantages of and potential barriers to successful implementation. Participants will have opportunities to discuss how they can apply these ideas to their own programmes and context.</w:t>
            </w:r>
          </w:p>
          <w:p w14:paraId="2A7E9290" w14:textId="77777777" w:rsidR="00ED6BD3" w:rsidRDefault="00ED6BD3" w:rsidP="000853FF"/>
          <w:p w14:paraId="54C9620C" w14:textId="77777777" w:rsidR="00CA784B" w:rsidRDefault="00CA784B" w:rsidP="00CA784B">
            <w:pPr>
              <w:pStyle w:val="Heading3"/>
              <w:outlineLvl w:val="2"/>
              <w:rPr>
                <w:lang w:eastAsia="en-GB"/>
              </w:rPr>
            </w:pPr>
            <w:r>
              <w:rPr>
                <w:lang w:eastAsia="en-GB"/>
              </w:rPr>
              <w:t>Pre-workshop</w:t>
            </w:r>
          </w:p>
          <w:p w14:paraId="4CC347FE" w14:textId="77777777" w:rsidR="00CA784B" w:rsidRPr="008E65CB" w:rsidRDefault="00CA784B" w:rsidP="00CA784B">
            <w:r>
              <w:t xml:space="preserve">Participants are invited to send any specific questions or comments on relevant issues which they would like to cover in the workshop. This can be done either through the </w:t>
            </w:r>
            <w:hyperlink r:id="rId8" w:history="1">
              <w:r w:rsidRPr="00CA784B">
                <w:rPr>
                  <w:rStyle w:val="Hyperlink"/>
                </w:rPr>
                <w:t>Google Doc</w:t>
              </w:r>
            </w:hyperlink>
            <w:r>
              <w:t xml:space="preserve"> or directly by email to Prof Peter Hartley, (</w:t>
            </w:r>
            <w:hyperlink r:id="rId9" w:history="1">
              <w:r w:rsidRPr="00794643">
                <w:rPr>
                  <w:rStyle w:val="Hyperlink"/>
                </w:rPr>
                <w:t>profpeter1@me.com)</w:t>
              </w:r>
            </w:hyperlink>
            <w:r>
              <w:t xml:space="preserve"> </w:t>
            </w:r>
          </w:p>
        </w:tc>
      </w:tr>
      <w:tr w:rsidR="00511A11" w14:paraId="73CA9BA7" w14:textId="77777777" w:rsidTr="00892B41">
        <w:tc>
          <w:tcPr>
            <w:tcW w:w="1555" w:type="dxa"/>
          </w:tcPr>
          <w:p w14:paraId="732FA08B" w14:textId="77777777" w:rsidR="00511A11" w:rsidRPr="0042569A" w:rsidRDefault="00511A11" w:rsidP="000853FF">
            <w:r w:rsidRPr="0042569A">
              <w:t>11</w:t>
            </w:r>
            <w:r w:rsidR="000853FF">
              <w:t>00-112</w:t>
            </w:r>
            <w:r w:rsidRPr="0042569A">
              <w:t>0</w:t>
            </w:r>
          </w:p>
        </w:tc>
        <w:tc>
          <w:tcPr>
            <w:tcW w:w="8901" w:type="dxa"/>
          </w:tcPr>
          <w:p w14:paraId="052EE9C3" w14:textId="77777777" w:rsidR="00511A11" w:rsidRDefault="00D0568B" w:rsidP="0053140A">
            <w:r>
              <w:t>Break</w:t>
            </w:r>
          </w:p>
        </w:tc>
      </w:tr>
      <w:tr w:rsidR="000B7515" w14:paraId="2FCA0A15" w14:textId="77777777" w:rsidTr="00892B41">
        <w:tc>
          <w:tcPr>
            <w:tcW w:w="1555" w:type="dxa"/>
          </w:tcPr>
          <w:p w14:paraId="3EC25040" w14:textId="77777777" w:rsidR="000B7515" w:rsidRPr="0042569A" w:rsidRDefault="000B7515" w:rsidP="000B7515">
            <w:r w:rsidRPr="0042569A">
              <w:t>1</w:t>
            </w:r>
            <w:r>
              <w:t>12</w:t>
            </w:r>
            <w:r w:rsidRPr="0042569A">
              <w:t>0-1</w:t>
            </w:r>
            <w:r>
              <w:t>200</w:t>
            </w:r>
          </w:p>
        </w:tc>
        <w:tc>
          <w:tcPr>
            <w:tcW w:w="8901" w:type="dxa"/>
          </w:tcPr>
          <w:p w14:paraId="3F8D8762" w14:textId="77777777" w:rsidR="000B7515" w:rsidRPr="006215AF" w:rsidRDefault="000B7515" w:rsidP="000B7515">
            <w:pPr>
              <w:pStyle w:val="Headng2"/>
              <w:rPr>
                <w:color w:val="000000"/>
              </w:rPr>
            </w:pPr>
            <w:r>
              <w:t>Assessment rubrics : Panel discussion</w:t>
            </w:r>
          </w:p>
          <w:p w14:paraId="338F962A" w14:textId="77777777" w:rsidR="006E696A" w:rsidRPr="00035FB9" w:rsidRDefault="006E696A" w:rsidP="006E696A">
            <w:pPr>
              <w:pStyle w:val="Heading3"/>
              <w:outlineLvl w:val="2"/>
            </w:pPr>
            <w:r w:rsidRPr="00035FB9">
              <w:t>Description</w:t>
            </w:r>
          </w:p>
          <w:p w14:paraId="2680A1C0" w14:textId="77777777" w:rsidR="000B7515" w:rsidRDefault="006E696A" w:rsidP="00B878BC">
            <w:r>
              <w:t>Assessment rubrics have value in that they articulate clearly the criteria against which students’ work will be assessed</w:t>
            </w:r>
            <w:r w:rsidR="00B878BC">
              <w:t>.</w:t>
            </w:r>
            <w:r w:rsidR="00B0030D">
              <w:t xml:space="preserve"> This is </w:t>
            </w:r>
            <w:r>
              <w:t xml:space="preserve">useful for students </w:t>
            </w:r>
            <w:r w:rsidR="00B0030D">
              <w:t>in that it enables clear understanding of assessment aims, and standards of quality; and also for academic staff to improve the objectivity and reliability of grading. However, there are common concerns with the use of rubrics: that they are either too specific and discourage student innovation and creativity</w:t>
            </w:r>
            <w:r w:rsidR="00B878BC">
              <w:t>,</w:t>
            </w:r>
            <w:r w:rsidR="00B0030D">
              <w:t xml:space="preserve"> or that they are too general and hence fail to offer clear guidance to either students or markers of assessments. </w:t>
            </w:r>
            <w:r>
              <w:t>In this session, a panel will present their views on the value of assessment rubrics</w:t>
            </w:r>
            <w:r w:rsidR="00B0030D">
              <w:t xml:space="preserve"> before engaging in wider discussion with participants. </w:t>
            </w:r>
          </w:p>
        </w:tc>
      </w:tr>
      <w:tr w:rsidR="00ED6BD3" w14:paraId="70172722" w14:textId="77777777" w:rsidTr="00892B41">
        <w:tc>
          <w:tcPr>
            <w:tcW w:w="1555" w:type="dxa"/>
          </w:tcPr>
          <w:p w14:paraId="74F19E78" w14:textId="77777777" w:rsidR="00ED6BD3" w:rsidRPr="0042569A" w:rsidRDefault="00511A11" w:rsidP="000B7515">
            <w:r w:rsidRPr="0042569A">
              <w:t>1</w:t>
            </w:r>
            <w:r w:rsidR="000B7515">
              <w:t>20</w:t>
            </w:r>
            <w:r w:rsidR="00ED6BD3" w:rsidRPr="0042569A">
              <w:t>0-1</w:t>
            </w:r>
            <w:r w:rsidR="000B7515">
              <w:t>30</w:t>
            </w:r>
            <w:r w:rsidR="000853FF">
              <w:t>0</w:t>
            </w:r>
          </w:p>
        </w:tc>
        <w:tc>
          <w:tcPr>
            <w:tcW w:w="8901" w:type="dxa"/>
          </w:tcPr>
          <w:p w14:paraId="74594F70" w14:textId="77777777" w:rsidR="00E31361" w:rsidRPr="00E31361" w:rsidRDefault="00E31361" w:rsidP="00E31361">
            <w:pPr>
              <w:pStyle w:val="Headng2"/>
              <w:rPr>
                <w:lang w:val="en-GB" w:eastAsia="en-GB"/>
              </w:rPr>
            </w:pPr>
            <w:r w:rsidRPr="00E31361">
              <w:rPr>
                <w:lang w:val="en-GB" w:eastAsia="en-GB"/>
              </w:rPr>
              <w:t>Enhancing the student experience of assessed group work: Developing a research-informed framework</w:t>
            </w:r>
          </w:p>
          <w:p w14:paraId="2149609E" w14:textId="77777777" w:rsidR="00C976A5" w:rsidRPr="006215AF" w:rsidRDefault="003E69AE" w:rsidP="00C976A5">
            <w:pPr>
              <w:pStyle w:val="Headng2"/>
            </w:pPr>
            <w:r>
              <w:t xml:space="preserve">Dr </w:t>
            </w:r>
            <w:r w:rsidR="00C976A5">
              <w:t>Moira Maguire, Dundalk Institute of Technology</w:t>
            </w:r>
          </w:p>
          <w:p w14:paraId="170C5AA7" w14:textId="77777777" w:rsidR="00ED6BD3" w:rsidRPr="000F4E81" w:rsidRDefault="00ED6BD3" w:rsidP="0053140A">
            <w:pPr>
              <w:pStyle w:val="Heading3"/>
              <w:outlineLvl w:val="2"/>
            </w:pPr>
            <w:r>
              <w:t xml:space="preserve">Description </w:t>
            </w:r>
          </w:p>
          <w:p w14:paraId="4FFE768F" w14:textId="77777777" w:rsidR="00B273C5" w:rsidRPr="00644A44" w:rsidRDefault="00E31361" w:rsidP="003E69AE">
            <w:r>
              <w:t xml:space="preserve">This </w:t>
            </w:r>
            <w:r w:rsidR="003E69AE">
              <w:t>keynote</w:t>
            </w:r>
            <w:r>
              <w:t xml:space="preserve"> explores the student experience of assessed group work within the context of the development, initial implementation and evaluation of an institution-wide </w:t>
            </w:r>
            <w:r>
              <w:lastRenderedPageBreak/>
              <w:t xml:space="preserve">approach to improve this experience. </w:t>
            </w:r>
            <w:r w:rsidR="003E69AE">
              <w:t xml:space="preserve">A </w:t>
            </w:r>
            <w:r>
              <w:t xml:space="preserve">review of assessed group work </w:t>
            </w:r>
            <w:r w:rsidR="003E69AE">
              <w:t xml:space="preserve">identified several issues </w:t>
            </w:r>
            <w:r>
              <w:t>including coherence across and within programmes, developing group work skills for students, the visibility of group work and number of simultaneous group projects</w:t>
            </w:r>
            <w:r w:rsidR="003E69AE">
              <w:t>. A research-informed</w:t>
            </w:r>
            <w:r>
              <w:t xml:space="preserve"> programme-level approach was </w:t>
            </w:r>
            <w:r w:rsidR="003E69AE">
              <w:t xml:space="preserve">developed culminating in a </w:t>
            </w:r>
            <w:r>
              <w:t>framework to support programme teams in planning and implementing group work (</w:t>
            </w:r>
            <w:hyperlink r:id="rId10" w:history="1">
              <w:r>
                <w:rPr>
                  <w:rStyle w:val="Hyperlink"/>
                </w:rPr>
                <w:t>https://www.dkit.ie/system/files/groupwork_framework_guidelines_2016.pdf</w:t>
              </w:r>
            </w:hyperlink>
            <w:r>
              <w:t xml:space="preserve">). </w:t>
            </w:r>
          </w:p>
        </w:tc>
      </w:tr>
      <w:tr w:rsidR="000853FF" w14:paraId="75026C31" w14:textId="77777777" w:rsidTr="00892B41">
        <w:tc>
          <w:tcPr>
            <w:tcW w:w="1555" w:type="dxa"/>
          </w:tcPr>
          <w:p w14:paraId="434545BA" w14:textId="77777777" w:rsidR="000853FF" w:rsidRPr="0042569A" w:rsidRDefault="000853FF" w:rsidP="000B7515">
            <w:r>
              <w:lastRenderedPageBreak/>
              <w:t>1</w:t>
            </w:r>
            <w:r w:rsidR="000B7515">
              <w:t>300</w:t>
            </w:r>
            <w:r>
              <w:t>-13</w:t>
            </w:r>
            <w:r w:rsidR="000B7515">
              <w:t>15</w:t>
            </w:r>
          </w:p>
        </w:tc>
        <w:tc>
          <w:tcPr>
            <w:tcW w:w="8901" w:type="dxa"/>
          </w:tcPr>
          <w:p w14:paraId="5390CC82" w14:textId="77777777" w:rsidR="000853FF" w:rsidRDefault="000853FF" w:rsidP="000853FF">
            <w:pPr>
              <w:pStyle w:val="Heading3"/>
              <w:outlineLvl w:val="2"/>
            </w:pPr>
            <w:r>
              <w:t>Closing remarks</w:t>
            </w:r>
            <w:r w:rsidR="000B7515">
              <w:t xml:space="preserve"> led by Professor Peter Hartley</w:t>
            </w:r>
          </w:p>
        </w:tc>
      </w:tr>
      <w:tr w:rsidR="00ED6BD3" w14:paraId="24E30F5B" w14:textId="77777777" w:rsidTr="00892B41">
        <w:tc>
          <w:tcPr>
            <w:tcW w:w="1555" w:type="dxa"/>
          </w:tcPr>
          <w:p w14:paraId="78FD9340" w14:textId="77777777" w:rsidR="00ED6BD3" w:rsidRPr="0042569A" w:rsidRDefault="000B7515" w:rsidP="0053140A">
            <w:r>
              <w:t>1315</w:t>
            </w:r>
          </w:p>
        </w:tc>
        <w:tc>
          <w:tcPr>
            <w:tcW w:w="8901" w:type="dxa"/>
          </w:tcPr>
          <w:p w14:paraId="3306FD68" w14:textId="77777777" w:rsidR="0053140A" w:rsidRDefault="0053140A" w:rsidP="0053140A">
            <w:pPr>
              <w:pStyle w:val="Heading3"/>
              <w:outlineLvl w:val="2"/>
            </w:pPr>
            <w:r>
              <w:t>Lunch (for those attending in person)</w:t>
            </w:r>
          </w:p>
          <w:p w14:paraId="2E343BB3" w14:textId="77777777" w:rsidR="0053140A" w:rsidRPr="008E65CB" w:rsidRDefault="0053140A" w:rsidP="0053140A">
            <w:pPr>
              <w:rPr>
                <w:bCs/>
              </w:rPr>
            </w:pPr>
            <w:r>
              <w:t xml:space="preserve">Learning Lab, An </w:t>
            </w:r>
            <w:proofErr w:type="spellStart"/>
            <w:r>
              <w:t>Lòchran</w:t>
            </w:r>
            <w:proofErr w:type="spellEnd"/>
            <w:r>
              <w:t>, Inverness Campus</w:t>
            </w:r>
          </w:p>
        </w:tc>
      </w:tr>
    </w:tbl>
    <w:p w14:paraId="35D0DAEB" w14:textId="77777777" w:rsidR="00035FB9" w:rsidRDefault="000F4E81" w:rsidP="00547A58">
      <w:pPr>
        <w:pStyle w:val="NormalWeb"/>
      </w:pPr>
      <w:r w:rsidRPr="00622246">
        <w:rPr>
          <w:rFonts w:asciiTheme="minorHAnsi" w:hAnsiTheme="minorHAnsi"/>
        </w:rPr>
        <w:t xml:space="preserve">For any questions relating to the programme please email </w:t>
      </w:r>
      <w:hyperlink r:id="rId11" w:history="1">
        <w:r w:rsidR="00E83633" w:rsidRPr="00622246">
          <w:rPr>
            <w:rStyle w:val="Hyperlink"/>
            <w:rFonts w:asciiTheme="minorHAnsi" w:hAnsiTheme="minorHAnsi"/>
          </w:rPr>
          <w:t>lta@uhi.ac.uk</w:t>
        </w:r>
      </w:hyperlink>
      <w:r w:rsidR="00E83633" w:rsidRPr="00622246">
        <w:rPr>
          <w:rFonts w:asciiTheme="minorHAnsi" w:hAnsiTheme="minorHAnsi"/>
        </w:rPr>
        <w:t xml:space="preserve"> </w:t>
      </w:r>
    </w:p>
    <w:sectPr w:rsidR="00035FB9" w:rsidSect="00CE2D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52374"/>
    <w:multiLevelType w:val="hybridMultilevel"/>
    <w:tmpl w:val="993E5F0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345" w:hanging="360"/>
      </w:pPr>
      <w:rPr>
        <w:rFonts w:ascii="Courier New" w:hAnsi="Courier New" w:cs="Courier New" w:hint="default"/>
      </w:rPr>
    </w:lvl>
    <w:lvl w:ilvl="2" w:tplc="08090005" w:tentative="1">
      <w:start w:val="1"/>
      <w:numFmt w:val="bullet"/>
      <w:lvlText w:val=""/>
      <w:lvlJc w:val="left"/>
      <w:pPr>
        <w:ind w:left="375" w:hanging="360"/>
      </w:pPr>
      <w:rPr>
        <w:rFonts w:ascii="Wingdings" w:hAnsi="Wingdings" w:hint="default"/>
      </w:rPr>
    </w:lvl>
    <w:lvl w:ilvl="3" w:tplc="08090001" w:tentative="1">
      <w:start w:val="1"/>
      <w:numFmt w:val="bullet"/>
      <w:lvlText w:val=""/>
      <w:lvlJc w:val="left"/>
      <w:pPr>
        <w:ind w:left="1095" w:hanging="360"/>
      </w:pPr>
      <w:rPr>
        <w:rFonts w:ascii="Symbol" w:hAnsi="Symbol" w:hint="default"/>
      </w:rPr>
    </w:lvl>
    <w:lvl w:ilvl="4" w:tplc="08090003" w:tentative="1">
      <w:start w:val="1"/>
      <w:numFmt w:val="bullet"/>
      <w:lvlText w:val="o"/>
      <w:lvlJc w:val="left"/>
      <w:pPr>
        <w:ind w:left="1815" w:hanging="360"/>
      </w:pPr>
      <w:rPr>
        <w:rFonts w:ascii="Courier New" w:hAnsi="Courier New" w:cs="Courier New" w:hint="default"/>
      </w:rPr>
    </w:lvl>
    <w:lvl w:ilvl="5" w:tplc="08090005" w:tentative="1">
      <w:start w:val="1"/>
      <w:numFmt w:val="bullet"/>
      <w:lvlText w:val=""/>
      <w:lvlJc w:val="left"/>
      <w:pPr>
        <w:ind w:left="2535" w:hanging="360"/>
      </w:pPr>
      <w:rPr>
        <w:rFonts w:ascii="Wingdings" w:hAnsi="Wingdings" w:hint="default"/>
      </w:rPr>
    </w:lvl>
    <w:lvl w:ilvl="6" w:tplc="08090001" w:tentative="1">
      <w:start w:val="1"/>
      <w:numFmt w:val="bullet"/>
      <w:lvlText w:val=""/>
      <w:lvlJc w:val="left"/>
      <w:pPr>
        <w:ind w:left="3255" w:hanging="360"/>
      </w:pPr>
      <w:rPr>
        <w:rFonts w:ascii="Symbol" w:hAnsi="Symbol" w:hint="default"/>
      </w:rPr>
    </w:lvl>
    <w:lvl w:ilvl="7" w:tplc="08090003" w:tentative="1">
      <w:start w:val="1"/>
      <w:numFmt w:val="bullet"/>
      <w:lvlText w:val="o"/>
      <w:lvlJc w:val="left"/>
      <w:pPr>
        <w:ind w:left="3975" w:hanging="360"/>
      </w:pPr>
      <w:rPr>
        <w:rFonts w:ascii="Courier New" w:hAnsi="Courier New" w:cs="Courier New" w:hint="default"/>
      </w:rPr>
    </w:lvl>
    <w:lvl w:ilvl="8" w:tplc="08090005" w:tentative="1">
      <w:start w:val="1"/>
      <w:numFmt w:val="bullet"/>
      <w:lvlText w:val=""/>
      <w:lvlJc w:val="left"/>
      <w:pPr>
        <w:ind w:left="4695" w:hanging="360"/>
      </w:pPr>
      <w:rPr>
        <w:rFonts w:ascii="Wingdings" w:hAnsi="Wingdings" w:hint="default"/>
      </w:rPr>
    </w:lvl>
  </w:abstractNum>
  <w:abstractNum w:abstractNumId="1" w15:restartNumberingAfterBreak="0">
    <w:nsid w:val="598D51EB"/>
    <w:multiLevelType w:val="hybridMultilevel"/>
    <w:tmpl w:val="FA0A1EDC"/>
    <w:lvl w:ilvl="0" w:tplc="E3DE3CA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E6C"/>
    <w:rsid w:val="00016B6B"/>
    <w:rsid w:val="00035FB9"/>
    <w:rsid w:val="00082ECA"/>
    <w:rsid w:val="000853FF"/>
    <w:rsid w:val="000A45DC"/>
    <w:rsid w:val="000B7515"/>
    <w:rsid w:val="000F4E81"/>
    <w:rsid w:val="00162045"/>
    <w:rsid w:val="0028059E"/>
    <w:rsid w:val="002C4E6C"/>
    <w:rsid w:val="0031124F"/>
    <w:rsid w:val="003E69AE"/>
    <w:rsid w:val="0042569A"/>
    <w:rsid w:val="00431F80"/>
    <w:rsid w:val="004C0568"/>
    <w:rsid w:val="004E3797"/>
    <w:rsid w:val="00511A11"/>
    <w:rsid w:val="0053140A"/>
    <w:rsid w:val="00547A58"/>
    <w:rsid w:val="005C0AF7"/>
    <w:rsid w:val="006215AF"/>
    <w:rsid w:val="00622246"/>
    <w:rsid w:val="00644A44"/>
    <w:rsid w:val="006617E4"/>
    <w:rsid w:val="006E696A"/>
    <w:rsid w:val="00761C18"/>
    <w:rsid w:val="008E65CB"/>
    <w:rsid w:val="008F1340"/>
    <w:rsid w:val="00904B7F"/>
    <w:rsid w:val="009E269E"/>
    <w:rsid w:val="00A0200E"/>
    <w:rsid w:val="00A84846"/>
    <w:rsid w:val="00AB272E"/>
    <w:rsid w:val="00B0030D"/>
    <w:rsid w:val="00B273C5"/>
    <w:rsid w:val="00B878BC"/>
    <w:rsid w:val="00C373D2"/>
    <w:rsid w:val="00C63810"/>
    <w:rsid w:val="00C976A5"/>
    <w:rsid w:val="00CA784B"/>
    <w:rsid w:val="00CE2D62"/>
    <w:rsid w:val="00D0568B"/>
    <w:rsid w:val="00D6143B"/>
    <w:rsid w:val="00DC7E78"/>
    <w:rsid w:val="00DF5781"/>
    <w:rsid w:val="00E31361"/>
    <w:rsid w:val="00E664CB"/>
    <w:rsid w:val="00E83633"/>
    <w:rsid w:val="00ED6BD3"/>
    <w:rsid w:val="00F6289C"/>
    <w:rsid w:val="00F9252C"/>
    <w:rsid w:val="00FE2456"/>
    <w:rsid w:val="00FE3B55"/>
    <w:rsid w:val="00FF1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2427"/>
  <w15:chartTrackingRefBased/>
  <w15:docId w15:val="{2890A8E8-2A12-4B40-8150-006A5A38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140A"/>
    <w:pPr>
      <w:spacing w:after="0" w:line="240" w:lineRule="auto"/>
    </w:pPr>
    <w:rPr>
      <w:rFonts w:ascii="Calibri" w:hAnsi="Calibri" w:cs="Times New Roman"/>
      <w:sz w:val="24"/>
      <w:szCs w:val="24"/>
      <w:lang w:val="en-IE"/>
    </w:rPr>
  </w:style>
  <w:style w:type="paragraph" w:styleId="Heading1">
    <w:name w:val="heading 1"/>
    <w:basedOn w:val="Normal"/>
    <w:next w:val="Normal"/>
    <w:link w:val="Heading1Char"/>
    <w:uiPriority w:val="9"/>
    <w:qFormat/>
    <w:rsid w:val="0053140A"/>
    <w:pPr>
      <w:keepNext/>
      <w:keepLines/>
      <w:spacing w:before="240"/>
      <w:outlineLvl w:val="0"/>
    </w:pPr>
    <w:rPr>
      <w:rFonts w:asciiTheme="majorHAnsi" w:eastAsiaTheme="majorEastAsia" w:hAnsiTheme="majorHAnsi" w:cstheme="majorBidi"/>
      <w:b/>
      <w:color w:val="582164"/>
      <w:sz w:val="40"/>
      <w:szCs w:val="32"/>
    </w:rPr>
  </w:style>
  <w:style w:type="paragraph" w:styleId="Heading2">
    <w:name w:val="heading 2"/>
    <w:aliases w:val="Jisc Heading 2"/>
    <w:basedOn w:val="Normal"/>
    <w:next w:val="Normal"/>
    <w:link w:val="Heading2Char"/>
    <w:uiPriority w:val="6"/>
    <w:qFormat/>
    <w:rsid w:val="008E65CB"/>
    <w:pPr>
      <w:keepNext/>
      <w:spacing w:before="400" w:after="120" w:line="228" w:lineRule="auto"/>
      <w:outlineLvl w:val="1"/>
    </w:pPr>
    <w:rPr>
      <w:rFonts w:ascii="Corbel" w:eastAsia="Calibri" w:hAnsi="Corbel"/>
      <w:color w:val="B71A8B"/>
      <w:spacing w:val="-10"/>
      <w:sz w:val="44"/>
      <w:szCs w:val="32"/>
      <w:lang w:eastAsia="en-GB"/>
    </w:rPr>
  </w:style>
  <w:style w:type="paragraph" w:styleId="Heading3">
    <w:name w:val="heading 3"/>
    <w:basedOn w:val="Normal"/>
    <w:next w:val="Normal"/>
    <w:link w:val="Heading3Char"/>
    <w:uiPriority w:val="9"/>
    <w:unhideWhenUsed/>
    <w:qFormat/>
    <w:rsid w:val="0042569A"/>
    <w:pPr>
      <w:keepNext/>
      <w:keepLines/>
      <w:spacing w:before="40"/>
      <w:outlineLvl w:val="2"/>
    </w:pPr>
    <w:rPr>
      <w:rFonts w:asciiTheme="majorHAnsi" w:eastAsiaTheme="majorEastAsia" w:hAnsiTheme="majorHAnsi" w:cstheme="majorBidi"/>
      <w:color w:val="582164"/>
    </w:rPr>
  </w:style>
  <w:style w:type="paragraph" w:styleId="Heading4">
    <w:name w:val="heading 4"/>
    <w:basedOn w:val="Normal"/>
    <w:next w:val="Normal"/>
    <w:link w:val="Heading4Char"/>
    <w:uiPriority w:val="9"/>
    <w:semiHidden/>
    <w:unhideWhenUsed/>
    <w:qFormat/>
    <w:rsid w:val="00FF1C4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4E6C"/>
    <w:rPr>
      <w:color w:val="0563C1" w:themeColor="hyperlink"/>
      <w:u w:val="single"/>
    </w:rPr>
  </w:style>
  <w:style w:type="paragraph" w:styleId="NormalWeb">
    <w:name w:val="Normal (Web)"/>
    <w:basedOn w:val="Normal"/>
    <w:uiPriority w:val="99"/>
    <w:unhideWhenUsed/>
    <w:rsid w:val="002C4E6C"/>
    <w:pPr>
      <w:spacing w:before="100" w:beforeAutospacing="1" w:after="100" w:afterAutospacing="1"/>
    </w:pPr>
    <w:rPr>
      <w:rFonts w:ascii="Times New Roman" w:hAnsi="Times New Roman"/>
      <w:lang w:eastAsia="en-GB"/>
    </w:rPr>
  </w:style>
  <w:style w:type="table" w:styleId="TableGrid">
    <w:name w:val="Table Grid"/>
    <w:basedOn w:val="TableNormal"/>
    <w:uiPriority w:val="39"/>
    <w:rsid w:val="00CE2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51"/>
    <w:qFormat/>
    <w:rsid w:val="00CE2D62"/>
    <w:pPr>
      <w:numPr>
        <w:numId w:val="1"/>
      </w:numPr>
      <w:spacing w:before="140" w:after="140" w:line="280" w:lineRule="auto"/>
      <w:ind w:left="1434" w:hanging="357"/>
    </w:pPr>
    <w:rPr>
      <w:rFonts w:ascii="Corbel" w:eastAsia="Calibri" w:hAnsi="Corbel"/>
      <w:color w:val="2C3841"/>
    </w:rPr>
  </w:style>
  <w:style w:type="character" w:customStyle="1" w:styleId="Heading2Char">
    <w:name w:val="Heading 2 Char"/>
    <w:aliases w:val="Jisc Heading 2 Char"/>
    <w:basedOn w:val="DefaultParagraphFont"/>
    <w:link w:val="Heading2"/>
    <w:uiPriority w:val="6"/>
    <w:rsid w:val="008E65CB"/>
    <w:rPr>
      <w:rFonts w:ascii="Corbel" w:eastAsia="Calibri" w:hAnsi="Corbel" w:cs="Times New Roman"/>
      <w:color w:val="B71A8B"/>
      <w:spacing w:val="-10"/>
      <w:sz w:val="44"/>
      <w:szCs w:val="32"/>
      <w:lang w:eastAsia="en-GB"/>
    </w:rPr>
  </w:style>
  <w:style w:type="character" w:customStyle="1" w:styleId="Heading3Char">
    <w:name w:val="Heading 3 Char"/>
    <w:basedOn w:val="DefaultParagraphFont"/>
    <w:link w:val="Heading3"/>
    <w:uiPriority w:val="9"/>
    <w:rsid w:val="0042569A"/>
    <w:rPr>
      <w:rFonts w:asciiTheme="majorHAnsi" w:eastAsiaTheme="majorEastAsia" w:hAnsiTheme="majorHAnsi" w:cstheme="majorBidi"/>
      <w:color w:val="582164"/>
      <w:sz w:val="24"/>
      <w:szCs w:val="24"/>
    </w:rPr>
  </w:style>
  <w:style w:type="character" w:customStyle="1" w:styleId="Heading1Char">
    <w:name w:val="Heading 1 Char"/>
    <w:basedOn w:val="DefaultParagraphFont"/>
    <w:link w:val="Heading1"/>
    <w:uiPriority w:val="9"/>
    <w:rsid w:val="0053140A"/>
    <w:rPr>
      <w:rFonts w:asciiTheme="majorHAnsi" w:eastAsiaTheme="majorEastAsia" w:hAnsiTheme="majorHAnsi" w:cstheme="majorBidi"/>
      <w:b/>
      <w:color w:val="582164"/>
      <w:sz w:val="40"/>
      <w:szCs w:val="32"/>
      <w:lang w:val="en-IE"/>
    </w:rPr>
  </w:style>
  <w:style w:type="paragraph" w:styleId="Title">
    <w:name w:val="Title"/>
    <w:basedOn w:val="Normal"/>
    <w:next w:val="Normal"/>
    <w:link w:val="TitleChar"/>
    <w:uiPriority w:val="10"/>
    <w:qFormat/>
    <w:rsid w:val="0042569A"/>
    <w:pPr>
      <w:contextualSpacing/>
      <w:jc w:val="center"/>
    </w:pPr>
    <w:rPr>
      <w:rFonts w:asciiTheme="majorHAnsi" w:eastAsiaTheme="majorEastAsia" w:hAnsiTheme="majorHAnsi" w:cstheme="majorBidi"/>
      <w:b/>
      <w:color w:val="582164"/>
      <w:spacing w:val="-10"/>
      <w:kern w:val="28"/>
      <w:sz w:val="56"/>
      <w:szCs w:val="56"/>
    </w:rPr>
  </w:style>
  <w:style w:type="character" w:customStyle="1" w:styleId="TitleChar">
    <w:name w:val="Title Char"/>
    <w:basedOn w:val="DefaultParagraphFont"/>
    <w:link w:val="Title"/>
    <w:uiPriority w:val="10"/>
    <w:rsid w:val="0042569A"/>
    <w:rPr>
      <w:rFonts w:asciiTheme="majorHAnsi" w:eastAsiaTheme="majorEastAsia" w:hAnsiTheme="majorHAnsi" w:cstheme="majorBidi"/>
      <w:b/>
      <w:color w:val="582164"/>
      <w:spacing w:val="-10"/>
      <w:kern w:val="28"/>
      <w:sz w:val="56"/>
      <w:szCs w:val="56"/>
    </w:rPr>
  </w:style>
  <w:style w:type="paragraph" w:customStyle="1" w:styleId="Headng2">
    <w:name w:val="Headng 2"/>
    <w:basedOn w:val="NormalWeb"/>
    <w:qFormat/>
    <w:rsid w:val="0042569A"/>
    <w:pPr>
      <w:spacing w:before="0" w:beforeAutospacing="0" w:after="0" w:afterAutospacing="0"/>
      <w:jc w:val="center"/>
    </w:pPr>
    <w:rPr>
      <w:rFonts w:asciiTheme="minorHAnsi" w:hAnsiTheme="minorHAnsi"/>
      <w:b/>
      <w:bCs/>
      <w:color w:val="582164"/>
      <w:sz w:val="28"/>
      <w:szCs w:val="28"/>
      <w:lang w:eastAsia="en-US"/>
    </w:rPr>
  </w:style>
  <w:style w:type="character" w:customStyle="1" w:styleId="Heading4Char">
    <w:name w:val="Heading 4 Char"/>
    <w:basedOn w:val="DefaultParagraphFont"/>
    <w:link w:val="Heading4"/>
    <w:uiPriority w:val="9"/>
    <w:semiHidden/>
    <w:rsid w:val="00FF1C43"/>
    <w:rPr>
      <w:rFonts w:asciiTheme="majorHAnsi" w:eastAsiaTheme="majorEastAsia" w:hAnsiTheme="majorHAnsi" w:cstheme="majorBidi"/>
      <w:i/>
      <w:iCs/>
      <w:color w:val="2E74B5" w:themeColor="accent1" w:themeShade="BF"/>
      <w:sz w:val="24"/>
      <w:szCs w:val="24"/>
      <w:lang w:val="en-IE"/>
    </w:rPr>
  </w:style>
  <w:style w:type="paragraph" w:styleId="BalloonText">
    <w:name w:val="Balloon Text"/>
    <w:basedOn w:val="Normal"/>
    <w:link w:val="BalloonTextChar"/>
    <w:uiPriority w:val="99"/>
    <w:semiHidden/>
    <w:unhideWhenUsed/>
    <w:rsid w:val="000853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3FF"/>
    <w:rPr>
      <w:rFonts w:ascii="Segoe UI" w:hAnsi="Segoe UI" w:cs="Segoe UI"/>
      <w:sz w:val="18"/>
      <w:szCs w:val="18"/>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86110">
      <w:bodyDiv w:val="1"/>
      <w:marLeft w:val="0"/>
      <w:marRight w:val="0"/>
      <w:marTop w:val="0"/>
      <w:marBottom w:val="0"/>
      <w:divBdr>
        <w:top w:val="none" w:sz="0" w:space="0" w:color="auto"/>
        <w:left w:val="none" w:sz="0" w:space="0" w:color="auto"/>
        <w:bottom w:val="none" w:sz="0" w:space="0" w:color="auto"/>
        <w:right w:val="none" w:sz="0" w:space="0" w:color="auto"/>
      </w:divBdr>
    </w:div>
    <w:div w:id="677854569">
      <w:bodyDiv w:val="1"/>
      <w:marLeft w:val="0"/>
      <w:marRight w:val="0"/>
      <w:marTop w:val="0"/>
      <w:marBottom w:val="0"/>
      <w:divBdr>
        <w:top w:val="none" w:sz="0" w:space="0" w:color="auto"/>
        <w:left w:val="none" w:sz="0" w:space="0" w:color="auto"/>
        <w:bottom w:val="none" w:sz="0" w:space="0" w:color="auto"/>
        <w:right w:val="none" w:sz="0" w:space="0" w:color="auto"/>
      </w:divBdr>
    </w:div>
    <w:div w:id="873887555">
      <w:bodyDiv w:val="1"/>
      <w:marLeft w:val="0"/>
      <w:marRight w:val="0"/>
      <w:marTop w:val="0"/>
      <w:marBottom w:val="0"/>
      <w:divBdr>
        <w:top w:val="none" w:sz="0" w:space="0" w:color="auto"/>
        <w:left w:val="none" w:sz="0" w:space="0" w:color="auto"/>
        <w:bottom w:val="none" w:sz="0" w:space="0" w:color="auto"/>
        <w:right w:val="none" w:sz="0" w:space="0" w:color="auto"/>
      </w:divBdr>
      <w:divsChild>
        <w:div w:id="1478496497">
          <w:marLeft w:val="0"/>
          <w:marRight w:val="0"/>
          <w:marTop w:val="0"/>
          <w:marBottom w:val="0"/>
          <w:divBdr>
            <w:top w:val="none" w:sz="0" w:space="0" w:color="auto"/>
            <w:left w:val="none" w:sz="0" w:space="0" w:color="auto"/>
            <w:bottom w:val="none" w:sz="0" w:space="0" w:color="auto"/>
            <w:right w:val="none" w:sz="0" w:space="0" w:color="auto"/>
          </w:divBdr>
        </w:div>
        <w:div w:id="1803307810">
          <w:marLeft w:val="0"/>
          <w:marRight w:val="0"/>
          <w:marTop w:val="0"/>
          <w:marBottom w:val="0"/>
          <w:divBdr>
            <w:top w:val="none" w:sz="0" w:space="0" w:color="auto"/>
            <w:left w:val="none" w:sz="0" w:space="0" w:color="auto"/>
            <w:bottom w:val="none" w:sz="0" w:space="0" w:color="auto"/>
            <w:right w:val="none" w:sz="0" w:space="0" w:color="auto"/>
          </w:divBdr>
        </w:div>
        <w:div w:id="1826585889">
          <w:marLeft w:val="0"/>
          <w:marRight w:val="0"/>
          <w:marTop w:val="0"/>
          <w:marBottom w:val="0"/>
          <w:divBdr>
            <w:top w:val="none" w:sz="0" w:space="0" w:color="auto"/>
            <w:left w:val="none" w:sz="0" w:space="0" w:color="auto"/>
            <w:bottom w:val="none" w:sz="0" w:space="0" w:color="auto"/>
            <w:right w:val="none" w:sz="0" w:space="0" w:color="auto"/>
          </w:divBdr>
        </w:div>
        <w:div w:id="453717677">
          <w:marLeft w:val="0"/>
          <w:marRight w:val="0"/>
          <w:marTop w:val="0"/>
          <w:marBottom w:val="0"/>
          <w:divBdr>
            <w:top w:val="none" w:sz="0" w:space="0" w:color="auto"/>
            <w:left w:val="none" w:sz="0" w:space="0" w:color="auto"/>
            <w:bottom w:val="none" w:sz="0" w:space="0" w:color="auto"/>
            <w:right w:val="none" w:sz="0" w:space="0" w:color="auto"/>
          </w:divBdr>
        </w:div>
        <w:div w:id="640429360">
          <w:marLeft w:val="0"/>
          <w:marRight w:val="0"/>
          <w:marTop w:val="0"/>
          <w:marBottom w:val="0"/>
          <w:divBdr>
            <w:top w:val="none" w:sz="0" w:space="0" w:color="auto"/>
            <w:left w:val="none" w:sz="0" w:space="0" w:color="auto"/>
            <w:bottom w:val="none" w:sz="0" w:space="0" w:color="auto"/>
            <w:right w:val="none" w:sz="0" w:space="0" w:color="auto"/>
          </w:divBdr>
        </w:div>
        <w:div w:id="594823295">
          <w:marLeft w:val="0"/>
          <w:marRight w:val="0"/>
          <w:marTop w:val="0"/>
          <w:marBottom w:val="0"/>
          <w:divBdr>
            <w:top w:val="none" w:sz="0" w:space="0" w:color="auto"/>
            <w:left w:val="none" w:sz="0" w:space="0" w:color="auto"/>
            <w:bottom w:val="none" w:sz="0" w:space="0" w:color="auto"/>
            <w:right w:val="none" w:sz="0" w:space="0" w:color="auto"/>
          </w:divBdr>
        </w:div>
        <w:div w:id="1465999241">
          <w:marLeft w:val="0"/>
          <w:marRight w:val="0"/>
          <w:marTop w:val="0"/>
          <w:marBottom w:val="0"/>
          <w:divBdr>
            <w:top w:val="none" w:sz="0" w:space="0" w:color="auto"/>
            <w:left w:val="none" w:sz="0" w:space="0" w:color="auto"/>
            <w:bottom w:val="none" w:sz="0" w:space="0" w:color="auto"/>
            <w:right w:val="none" w:sz="0" w:space="0" w:color="auto"/>
          </w:divBdr>
        </w:div>
        <w:div w:id="927735668">
          <w:marLeft w:val="0"/>
          <w:marRight w:val="0"/>
          <w:marTop w:val="0"/>
          <w:marBottom w:val="0"/>
          <w:divBdr>
            <w:top w:val="none" w:sz="0" w:space="0" w:color="auto"/>
            <w:left w:val="none" w:sz="0" w:space="0" w:color="auto"/>
            <w:bottom w:val="none" w:sz="0" w:space="0" w:color="auto"/>
            <w:right w:val="none" w:sz="0" w:space="0" w:color="auto"/>
          </w:divBdr>
        </w:div>
      </w:divsChild>
    </w:div>
    <w:div w:id="992638609">
      <w:bodyDiv w:val="1"/>
      <w:marLeft w:val="0"/>
      <w:marRight w:val="0"/>
      <w:marTop w:val="0"/>
      <w:marBottom w:val="0"/>
      <w:divBdr>
        <w:top w:val="none" w:sz="0" w:space="0" w:color="auto"/>
        <w:left w:val="none" w:sz="0" w:space="0" w:color="auto"/>
        <w:bottom w:val="none" w:sz="0" w:space="0" w:color="auto"/>
        <w:right w:val="none" w:sz="0" w:space="0" w:color="auto"/>
      </w:divBdr>
    </w:div>
    <w:div w:id="133722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mY2RCDk1F8BkCP6usj3QAkVDvWxgc570aNWkui8syt0/edit?usp=sha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esta.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ad.ac.uk/pass/" TargetMode="External"/><Relationship Id="rId11" Type="http://schemas.openxmlformats.org/officeDocument/2006/relationships/hyperlink" Target="mailto:lta@uhi.ac.uk" TargetMode="External"/><Relationship Id="rId5" Type="http://schemas.openxmlformats.org/officeDocument/2006/relationships/image" Target="media/image1.jpeg"/><Relationship Id="rId10" Type="http://schemas.openxmlformats.org/officeDocument/2006/relationships/hyperlink" Target="https://www.dkit.ie/system/files/groupwork_framework_guidelines_2016.pdf" TargetMode="External"/><Relationship Id="rId4" Type="http://schemas.openxmlformats.org/officeDocument/2006/relationships/webSettings" Target="webSettings.xml"/><Relationship Id="rId9" Type="http://schemas.openxmlformats.org/officeDocument/2006/relationships/hyperlink" Target="mailto:profpeter1@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3</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20181129_assessment_event_programme</dc:title>
  <dc:subject/>
  <dc:creator>Alex Walker</dc:creator>
  <cp:keywords/>
  <dc:description/>
  <cp:lastModifiedBy>Heather Fotheringham</cp:lastModifiedBy>
  <cp:revision>31</cp:revision>
  <cp:lastPrinted>2018-09-04T11:17:00Z</cp:lastPrinted>
  <dcterms:created xsi:type="dcterms:W3CDTF">2017-10-17T10:55:00Z</dcterms:created>
  <dcterms:modified xsi:type="dcterms:W3CDTF">2019-09-19T08:40:00Z</dcterms:modified>
</cp:coreProperties>
</file>